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Calibri" w:hAnsi="Calibri"/>
          <w:b/>
          <w:sz w:val="40"/>
        </w:rPr>
        <w:t>Annexe RGPD &amp; sécurité des données (auditabilité Assureurs / ARS)</w:t>
      </w:r>
    </w:p>
    <w:p>
      <w:r>
        <w:rPr>
          <w:rFonts w:ascii="Calibri" w:hAnsi="Calibri"/>
          <w:sz w:val="22"/>
        </w:rPr>
        <w:t>Version : v1.1 — Date : 21/02/2026</w:t>
      </w:r>
    </w:p>
    <w:p/>
    <w:p>
      <w:pPr>
        <w:spacing w:before="240" w:after="120"/>
      </w:pPr>
      <w:r>
        <w:rPr>
          <w:rFonts w:ascii="Calibri" w:hAnsi="Calibri"/>
          <w:b/>
          <w:sz w:val="28"/>
        </w:rPr>
        <w:t>1. Objet</w:t>
      </w:r>
    </w:p>
    <w:p>
      <w:pPr>
        <w:spacing w:after="120"/>
      </w:pPr>
      <w:r>
        <w:rPr>
          <w:rFonts w:ascii="Calibri" w:hAnsi="Calibri"/>
          <w:sz w:val="22"/>
        </w:rPr>
        <w:t>Encadrer les traitements de données personnelles liés à la collaboration (données d’identification, éléments strictement nécessaires à la continuité documentaire, échanges justificatifs), en respectant les principes de minimisation et de sécurité.</w:t>
      </w:r>
    </w:p>
    <w:p>
      <w:pPr>
        <w:spacing w:before="240" w:after="120"/>
      </w:pPr>
      <w:r>
        <w:rPr>
          <w:rFonts w:ascii="Calibri" w:hAnsi="Calibri"/>
          <w:b/>
          <w:sz w:val="28"/>
        </w:rPr>
        <w:t>2. Rôles RGPD (à qualifier)</w:t>
      </w:r>
    </w:p>
    <w:p>
      <w:pPr>
        <w:pStyle w:val="ListBullet"/>
        <w:spacing w:after="40"/>
      </w:pPr>
      <w:r>
        <w:rPr>
          <w:rFonts w:ascii="Calibri" w:hAnsi="Calibri"/>
          <w:sz w:val="22"/>
        </w:rPr>
        <w:t>☐ Le Partenaire est Responsable de traitement ; le Denturiste est Sous-traitant (cas fréquent)</w:t>
      </w:r>
    </w:p>
    <w:p>
      <w:pPr>
        <w:pStyle w:val="ListBullet"/>
        <w:spacing w:after="40"/>
      </w:pPr>
      <w:r>
        <w:rPr>
          <w:rFonts w:ascii="Calibri" w:hAnsi="Calibri"/>
          <w:sz w:val="22"/>
        </w:rPr>
        <w:t>☐ Chaque partie est Responsable de traitement distinct (périmètres séparés)</w:t>
      </w:r>
    </w:p>
    <w:p>
      <w:pPr>
        <w:pStyle w:val="ListBullet"/>
        <w:spacing w:after="40"/>
      </w:pPr>
      <w:r>
        <w:rPr>
          <w:rFonts w:ascii="Calibri" w:hAnsi="Calibri"/>
          <w:sz w:val="22"/>
        </w:rPr>
        <w:t>☐ Responsables conjoints : à formaliser spécifiquement</w:t>
      </w:r>
    </w:p>
    <w:p>
      <w:pPr>
        <w:spacing w:before="240" w:after="120"/>
      </w:pPr>
      <w:r>
        <w:rPr>
          <w:rFonts w:ascii="Calibri" w:hAnsi="Calibri"/>
          <w:b/>
          <w:sz w:val="28"/>
        </w:rPr>
        <w:t>3. Finalités &amp; minimisation</w:t>
      </w:r>
    </w:p>
    <w:p>
      <w:pPr>
        <w:pStyle w:val="ListBullet"/>
        <w:spacing w:after="40"/>
      </w:pPr>
      <w:r>
        <w:rPr>
          <w:rFonts w:ascii="Calibri" w:hAnsi="Calibri"/>
          <w:sz w:val="22"/>
        </w:rPr>
        <w:t>Exécution de la convention et traçabilité documentaire</w:t>
      </w:r>
    </w:p>
    <w:p>
      <w:pPr>
        <w:pStyle w:val="ListBullet"/>
        <w:spacing w:after="40"/>
      </w:pPr>
      <w:r>
        <w:rPr>
          <w:rFonts w:ascii="Calibri" w:hAnsi="Calibri"/>
          <w:sz w:val="22"/>
        </w:rPr>
        <w:t>Gestion qualité et non-conformités</w:t>
      </w:r>
    </w:p>
    <w:p>
      <w:pPr>
        <w:pStyle w:val="ListBullet"/>
        <w:spacing w:after="40"/>
      </w:pPr>
      <w:r>
        <w:rPr>
          <w:rFonts w:ascii="Calibri" w:hAnsi="Calibri"/>
          <w:sz w:val="22"/>
        </w:rPr>
        <w:t>Facturation et obligations contractuelles</w:t>
      </w:r>
    </w:p>
    <w:p>
      <w:pPr>
        <w:pStyle w:val="ListBullet"/>
        <w:spacing w:after="40"/>
      </w:pPr>
      <w:r>
        <w:rPr>
          <w:rFonts w:ascii="Calibri" w:hAnsi="Calibri"/>
          <w:sz w:val="22"/>
        </w:rPr>
        <w:t>Conformité et auditabilité (documents strictement nécessaires)</w:t>
      </w:r>
    </w:p>
    <w:p>
      <w:pPr>
        <w:spacing w:before="240" w:after="120"/>
      </w:pPr>
      <w:r>
        <w:rPr>
          <w:rFonts w:ascii="Calibri" w:hAnsi="Calibri"/>
          <w:b/>
          <w:sz w:val="28"/>
        </w:rPr>
        <w:t>4. Mesures de sécurité minimales</w:t>
      </w:r>
    </w:p>
    <w:p>
      <w:pPr>
        <w:pStyle w:val="ListBullet"/>
        <w:spacing w:after="40"/>
      </w:pPr>
      <w:r>
        <w:rPr>
          <w:rFonts w:ascii="Calibri" w:hAnsi="Calibri"/>
          <w:sz w:val="22"/>
        </w:rPr>
        <w:t>Contrôle d’accès nominatif et habilitations</w:t>
      </w:r>
    </w:p>
    <w:p>
      <w:pPr>
        <w:pStyle w:val="ListBullet"/>
        <w:spacing w:after="40"/>
      </w:pPr>
      <w:r>
        <w:rPr>
          <w:rFonts w:ascii="Calibri" w:hAnsi="Calibri"/>
          <w:sz w:val="22"/>
        </w:rPr>
        <w:t>Transferts sécurisés (chiffrement / lien protégé / coffre)</w:t>
      </w:r>
    </w:p>
    <w:p>
      <w:pPr>
        <w:pStyle w:val="ListBullet"/>
        <w:spacing w:after="40"/>
      </w:pPr>
      <w:r>
        <w:rPr>
          <w:rFonts w:ascii="Calibri" w:hAnsi="Calibri"/>
          <w:sz w:val="22"/>
        </w:rPr>
        <w:t>Sauvegardes et restauration testée</w:t>
      </w:r>
    </w:p>
    <w:p>
      <w:pPr>
        <w:pStyle w:val="ListBullet"/>
        <w:spacing w:after="40"/>
      </w:pPr>
      <w:r>
        <w:rPr>
          <w:rFonts w:ascii="Calibri" w:hAnsi="Calibri"/>
          <w:sz w:val="22"/>
        </w:rPr>
        <w:t>Journalisation des accès et des exports</w:t>
      </w:r>
    </w:p>
    <w:p>
      <w:pPr>
        <w:pStyle w:val="ListBullet"/>
        <w:spacing w:after="40"/>
      </w:pPr>
      <w:r>
        <w:rPr>
          <w:rFonts w:ascii="Calibri" w:hAnsi="Calibri"/>
          <w:sz w:val="22"/>
        </w:rPr>
        <w:t>Durcissement des mots de passe et 2FA si possible</w:t>
      </w:r>
    </w:p>
    <w:p>
      <w:pPr>
        <w:spacing w:before="240" w:after="120"/>
      </w:pPr>
      <w:r>
        <w:rPr>
          <w:rFonts w:ascii="Calibri" w:hAnsi="Calibri"/>
          <w:b/>
          <w:sz w:val="28"/>
        </w:rPr>
        <w:t>5. Conservation, purge, fin de relation</w:t>
      </w:r>
    </w:p>
    <w:p>
      <w:pPr>
        <w:spacing w:after="120"/>
      </w:pPr>
      <w:r>
        <w:rPr>
          <w:rFonts w:ascii="Calibri" w:hAnsi="Calibri"/>
          <w:sz w:val="22"/>
        </w:rPr>
        <w:t>Les durées de conservation sont alignées sur les obligations contractuelles/légales et la gestion des risques. Une procédure de purge documentée est appliquée en fin de relation (cf. Protocole).</w:t>
      </w:r>
    </w:p>
    <w:p>
      <w:pPr>
        <w:spacing w:before="240" w:after="120"/>
      </w:pPr>
      <w:r>
        <w:rPr>
          <w:rFonts w:ascii="Calibri" w:hAnsi="Calibri"/>
          <w:b/>
          <w:sz w:val="28"/>
        </w:rPr>
        <w:t>6. Sous-traitance ultérieure</w:t>
      </w:r>
    </w:p>
    <w:p>
      <w:pPr>
        <w:spacing w:after="120"/>
      </w:pPr>
      <w:r>
        <w:rPr>
          <w:rFonts w:ascii="Calibri" w:hAnsi="Calibri"/>
          <w:sz w:val="22"/>
        </w:rPr>
        <w:t>Interdite sans accord écrit préalable et garanties adéquates.</w:t>
      </w:r>
    </w:p>
    <w:p>
      <w:pPr>
        <w:spacing w:before="240" w:after="120"/>
      </w:pPr>
      <w:r>
        <w:rPr>
          <w:rFonts w:ascii="Calibri" w:hAnsi="Calibri"/>
          <w:b/>
          <w:sz w:val="28"/>
        </w:rPr>
        <w:t>7. Droits des personnes</w:t>
      </w:r>
    </w:p>
    <w:p>
      <w:pPr>
        <w:spacing w:after="120"/>
      </w:pPr>
      <w:r>
        <w:rPr>
          <w:rFonts w:ascii="Calibri" w:hAnsi="Calibri"/>
          <w:sz w:val="22"/>
        </w:rPr>
        <w:t>Point de contact : [email]. Procédure de réponse et coopération entre parties si nécessaire, dans le respect des délais légaux.</w:t>
      </w:r>
    </w:p>
    <w:p>
      <w:pPr>
        <w:spacing w:before="240" w:after="120"/>
      </w:pPr>
      <w:r>
        <w:rPr>
          <w:rFonts w:ascii="Calibri" w:hAnsi="Calibri"/>
          <w:b/>
          <w:sz w:val="28"/>
        </w:rPr>
        <w:t>8. Violations de données</w:t>
      </w:r>
    </w:p>
    <w:p>
      <w:pPr>
        <w:pStyle w:val="ListBullet"/>
        <w:spacing w:after="40"/>
      </w:pPr>
      <w:r>
        <w:rPr>
          <w:rFonts w:ascii="Calibri" w:hAnsi="Calibri"/>
          <w:sz w:val="22"/>
        </w:rPr>
        <w:t>Notification interne sous 48h (nature, périmètre, mesures)</w:t>
      </w:r>
    </w:p>
    <w:p>
      <w:pPr>
        <w:pStyle w:val="ListBullet"/>
        <w:spacing w:after="40"/>
      </w:pPr>
      <w:r>
        <w:rPr>
          <w:rFonts w:ascii="Calibri" w:hAnsi="Calibri"/>
          <w:sz w:val="22"/>
        </w:rPr>
        <w:t>Coordination si déclaration CNIL ou information des personnes est requise</w:t>
      </w:r>
    </w:p>
    <w:p>
      <w:pPr>
        <w:pStyle w:val="ListBullet"/>
        <w:spacing w:after="40"/>
      </w:pPr>
      <w:r>
        <w:rPr>
          <w:rFonts w:ascii="Calibri" w:hAnsi="Calibri"/>
          <w:sz w:val="22"/>
        </w:rPr>
        <w:t>Traçabilité des décisions et actions correctives</w:t>
      </w:r>
    </w:p>
    <w:p>
      <w:pPr>
        <w:spacing w:before="240" w:after="120"/>
      </w:pPr>
      <w:r>
        <w:rPr>
          <w:rFonts w:ascii="Calibri" w:hAnsi="Calibri"/>
          <w:b/>
          <w:sz w:val="28"/>
        </w:rPr>
        <w:t>9. Rappel périmètre fabrication uniquement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</w:tcPr>
          <w:p>
            <w:r>
              <w:rPr>
                <w:rFonts w:ascii="Calibri" w:hAnsi="Calibri"/>
                <w:b/>
                <w:sz w:val="22"/>
              </w:rPr>
              <w:t>Clause d’exclusion (fabrication uniquement)</w:t>
            </w:r>
          </w:p>
          <w:p>
            <w:r>
              <w:rPr>
                <w:rFonts w:ascii="Calibri" w:hAnsi="Calibri"/>
                <w:sz w:val="21"/>
              </w:rPr>
              <w:t>Le Denturiste intervient exclusivement dans un périmètre technique de fabrication.</w:t>
            </w:r>
          </w:p>
          <w:p>
            <w:r>
              <w:rPr>
                <w:rFonts w:ascii="Calibri" w:hAnsi="Calibri"/>
                <w:sz w:val="21"/>
              </w:rPr>
              <w:t>Il n’effectue aucun diagnostic, aucune prescription, aucun acte de soins ni traitement.</w:t>
            </w:r>
          </w:p>
          <w:p>
            <w:r>
              <w:rPr>
                <w:rFonts w:ascii="Calibri" w:hAnsi="Calibri"/>
                <w:sz w:val="21"/>
              </w:rPr>
              <w:t>Lorsque la situation requiert un diagnostic, une prescription, une décision thérapeutique ou un acte de soins, l’orientation est réalisée vers un professionnel habilité.</w:t>
            </w:r>
          </w:p>
          <w:p>
            <w:r>
              <w:rPr>
                <w:rFonts w:ascii="Calibri" w:hAnsi="Calibri"/>
                <w:sz w:val="21"/>
              </w:rPr>
              <w:t>La relation contractuelle vise la traçabilité, la conformité documentaire, la qualité de fabrication et la gouvernance du risque.</w:t>
            </w:r>
          </w:p>
        </w:tc>
      </w:tr>
    </w:tbl>
    <w:p/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sz w:val="18"/>
      </w:rPr>
      <w:t>SDDF_KitContractuel_v1.1_Assureurs_ARS_20260221-091243 — Page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tabs>
        <w:tab w:val="right" w:pos="9355"/>
      </w:tabs>
    </w:pPr>
    <w:r/>
    <w:r>
      <w:rPr>
        <w:rFonts w:ascii="Calibri" w:hAnsi="Calibri"/>
        <w:b/>
        <w:sz w:val="18"/>
      </w:rPr>
      <w:t>SDDF</w:t>
    </w:r>
    <w:r>
      <w:tab/>
    </w:r>
    <w:r>
      <w:rPr>
        <w:rFonts w:ascii="Calibri" w:hAnsi="Calibri"/>
        <w:sz w:val="18"/>
      </w:rPr>
      <w:t>SDDF – Kit contractuel (Assureurs / ARS) — v1.1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