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Calibri" w:hAnsi="Calibri"/>
          <w:b/>
          <w:sz w:val="40"/>
        </w:rPr>
        <w:t>Convention-cadre de collaboration professionnelle (périmètre technique de fabrication)</w:t>
      </w:r>
    </w:p>
    <w:p>
      <w:r>
        <w:rPr>
          <w:rFonts w:ascii="Calibri" w:hAnsi="Calibri"/>
          <w:sz w:val="22"/>
        </w:rPr>
        <w:t>Version : v1.1 — Date : 21/02/2026</w:t>
      </w:r>
    </w:p>
    <w:p/>
    <w:p>
      <w:pPr>
        <w:spacing w:before="240" w:after="120"/>
      </w:pPr>
      <w:r>
        <w:rPr>
          <w:rFonts w:ascii="Calibri" w:hAnsi="Calibri"/>
          <w:b/>
          <w:sz w:val="28"/>
        </w:rPr>
        <w:t>Entre les soussignés</w:t>
      </w:r>
    </w:p>
    <w:p>
      <w:pPr>
        <w:pStyle w:val="ListBullet"/>
        <w:spacing w:after="40"/>
      </w:pPr>
      <w:r>
        <w:rPr>
          <w:rFonts w:ascii="Calibri" w:hAnsi="Calibri"/>
          <w:sz w:val="22"/>
        </w:rPr>
        <w:t>[PARTENAIRE], [forme], [adresse], représenté par [Nom, fonction], ci-après « le Partenaire »</w:t>
      </w:r>
    </w:p>
    <w:p>
      <w:pPr>
        <w:pStyle w:val="ListBullet"/>
        <w:spacing w:after="40"/>
      </w:pPr>
      <w:r>
        <w:rPr>
          <w:rFonts w:ascii="Calibri" w:hAnsi="Calibri"/>
          <w:sz w:val="22"/>
        </w:rPr>
        <w:t>[DENTURISTE / STRUCTURE], [forme], [adresse], représenté par [Nom, fonction], ci-après « le Denturiste »</w:t>
      </w:r>
    </w:p>
    <w:p>
      <w:pPr>
        <w:spacing w:before="240" w:after="120"/>
      </w:pPr>
      <w:r>
        <w:rPr>
          <w:rFonts w:ascii="Calibri" w:hAnsi="Calibri"/>
          <w:b/>
          <w:sz w:val="28"/>
        </w:rPr>
        <w:t>Préambule</w:t>
      </w:r>
    </w:p>
    <w:p>
      <w:pPr>
        <w:spacing w:after="120"/>
      </w:pPr>
      <w:r>
        <w:rPr>
          <w:rFonts w:ascii="Calibri" w:hAnsi="Calibri"/>
          <w:sz w:val="22"/>
        </w:rPr>
        <w:t>Les parties souhaitent formaliser un cadre de collaboration assurant la clarté des responsabilités, la traçabilité documentaire, la conformité et l’auditabilité, conformément aux attentes institutionnelles (assureurs/ARS) et aux exigences de gouvernance du risque.</w:t>
      </w:r>
    </w:p>
    <w:p>
      <w:pPr>
        <w:spacing w:before="240" w:after="120"/>
      </w:pPr>
      <w:r>
        <w:rPr>
          <w:rFonts w:ascii="Calibri" w:hAnsi="Calibri"/>
          <w:b/>
          <w:sz w:val="28"/>
        </w:rPr>
        <w:t>Article 1 — Objet</w:t>
      </w:r>
    </w:p>
    <w:p>
      <w:pPr>
        <w:spacing w:after="120"/>
      </w:pPr>
      <w:r>
        <w:rPr>
          <w:rFonts w:ascii="Calibri" w:hAnsi="Calibri"/>
          <w:sz w:val="22"/>
        </w:rPr>
        <w:t>La présente convention définit les conditions de collaboration portant sur une prestation technique de fabrication et d’ajustement technique d’appareillages prothétiques amovibles, incluant l’organisation documentaire, les délais, les critères qualité et la gestion des non-conformités.</w:t>
      </w:r>
    </w:p>
    <w:p>
      <w:pPr>
        <w:spacing w:before="240" w:after="120"/>
      </w:pPr>
      <w:r>
        <w:rPr>
          <w:rFonts w:ascii="Calibri" w:hAnsi="Calibri"/>
          <w:b/>
          <w:sz w:val="28"/>
        </w:rPr>
        <w:t>Article 2 — Définitions (Assureurs / ARS)</w:t>
      </w:r>
    </w:p>
    <w:p>
      <w:pPr>
        <w:spacing w:after="120"/>
      </w:pPr>
      <w:r>
        <w:rPr>
          <w:rFonts w:ascii="Calibri" w:hAnsi="Calibri"/>
          <w:sz w:val="22"/>
        </w:rPr>
        <w:t>Prestation technique (fabrication) : activité de conception, fabrication, finition, ajustement technique et maintenance d’un appareillage prothétique amovible, sur la base d’éléments d’entrée documentés, à l’exclusion de tout acte médical ou de soins.</w:t>
      </w:r>
    </w:p>
    <w:p>
      <w:pPr>
        <w:spacing w:after="120"/>
      </w:pPr>
      <w:r>
        <w:rPr>
          <w:rFonts w:ascii="Calibri" w:hAnsi="Calibri"/>
          <w:sz w:val="22"/>
        </w:rPr>
        <w:t>Diagnostic : appréciation clinique/biologique et décision médicale ; hors périmètre du présent kit.</w:t>
      </w:r>
    </w:p>
    <w:p>
      <w:pPr>
        <w:spacing w:after="120"/>
      </w:pPr>
      <w:r>
        <w:rPr>
          <w:rFonts w:ascii="Calibri" w:hAnsi="Calibri"/>
          <w:sz w:val="22"/>
        </w:rPr>
        <w:t>Prescription : décision/indication thérapeutique et ordonnance ; hors périmètre du présent kit.</w:t>
      </w:r>
    </w:p>
    <w:p>
      <w:pPr>
        <w:spacing w:after="120"/>
      </w:pPr>
      <w:r>
        <w:rPr>
          <w:rFonts w:ascii="Calibri" w:hAnsi="Calibri"/>
          <w:sz w:val="22"/>
        </w:rPr>
        <w:t>Soins / traitement : actes relevant du Code de la santé publique ; hors périmètre du présent kit.</w:t>
      </w:r>
    </w:p>
    <w:p>
      <w:pPr>
        <w:spacing w:after="120"/>
      </w:pPr>
      <w:r>
        <w:rPr>
          <w:rFonts w:ascii="Calibri" w:hAnsi="Calibri"/>
          <w:sz w:val="22"/>
        </w:rPr>
        <w:t>Acte clinique : tout acte réalisé dans une démarche de soin ; hors périmètre du présent kit.</w:t>
      </w:r>
    </w:p>
    <w:p>
      <w:pPr>
        <w:spacing w:before="240" w:after="120"/>
      </w:pPr>
      <w:r>
        <w:rPr>
          <w:rFonts w:ascii="Calibri" w:hAnsi="Calibri"/>
          <w:b/>
          <w:sz w:val="28"/>
        </w:rPr>
        <w:t>Article 3 — Périmètre et exclusions (fabrication uniquement)</w:t>
      </w:r>
    </w:p>
    <w:tbl>
      <w:tblPr>
        <w:tblStyle w:val="TableGrid"/>
        <w:tblW w:type="auto" w:w="0"/>
        <w:tblLook w:firstColumn="1" w:firstRow="1" w:lastColumn="0" w:lastRow="0" w:noHBand="0" w:noVBand="1" w:val="04A0"/>
      </w:tblPr>
      <w:tblGrid>
        <w:gridCol w:w="9746"/>
      </w:tblGrid>
      <w:tr>
        <w:tc>
          <w:tcPr>
            <w:tcW w:type="dxa" w:w="9746"/>
          </w:tcPr>
          <w:p>
            <w:r>
              <w:rPr>
                <w:rFonts w:ascii="Calibri" w:hAnsi="Calibri"/>
                <w:b/>
                <w:sz w:val="22"/>
              </w:rPr>
              <w:t>Clause d’exclusion (fabrication uniquement)</w:t>
            </w:r>
          </w:p>
          <w:p>
            <w:r>
              <w:rPr>
                <w:rFonts w:ascii="Calibri" w:hAnsi="Calibri"/>
                <w:sz w:val="21"/>
              </w:rPr>
              <w:t>Le Denturiste intervient exclusivement dans un périmètre technique de fabrication.</w:t>
            </w:r>
          </w:p>
          <w:p>
            <w:r>
              <w:rPr>
                <w:rFonts w:ascii="Calibri" w:hAnsi="Calibri"/>
                <w:sz w:val="21"/>
              </w:rPr>
              <w:t>Il n’effectue aucun diagnostic, aucune prescription, aucun acte de soins ni traitement.</w:t>
            </w:r>
          </w:p>
          <w:p>
            <w:r>
              <w:rPr>
                <w:rFonts w:ascii="Calibri" w:hAnsi="Calibri"/>
                <w:sz w:val="21"/>
              </w:rPr>
              <w:t>Lorsque la situation requiert un diagnostic, une prescription, une décision thérapeutique ou un acte de soins, l’orientation est réalisée vers un professionnel habilité.</w:t>
            </w:r>
          </w:p>
          <w:p>
            <w:r>
              <w:rPr>
                <w:rFonts w:ascii="Calibri" w:hAnsi="Calibri"/>
                <w:sz w:val="21"/>
              </w:rPr>
              <w:t>La relation contractuelle vise la traçabilité, la conformité documentaire, la qualité de fabrication et la gouvernance du risque.</w:t>
            </w:r>
          </w:p>
        </w:tc>
      </w:tr>
    </w:tbl>
    <w:p/>
    <w:p>
      <w:pPr>
        <w:spacing w:after="120"/>
      </w:pPr>
      <w:r>
        <w:rPr>
          <w:rFonts w:ascii="Calibri" w:hAnsi="Calibri"/>
          <w:sz w:val="22"/>
        </w:rPr>
        <w:t>Le Partenaire reconnaît que la présente convention encadre une relation de nature technique et documentaire, sans empiéter sur des actes relevant de professions de santé réglementées.</w:t>
      </w:r>
    </w:p>
    <w:p>
      <w:pPr>
        <w:spacing w:before="240" w:after="120"/>
      </w:pPr>
      <w:r>
        <w:rPr>
          <w:rFonts w:ascii="Calibri" w:hAnsi="Calibri"/>
          <w:b/>
          <w:sz w:val="28"/>
        </w:rPr>
        <w:t>Article 4 — Organisation &amp; interlocuteurs</w:t>
      </w:r>
    </w:p>
    <w:p>
      <w:pPr>
        <w:pStyle w:val="ListBullet"/>
        <w:spacing w:after="40"/>
      </w:pPr>
      <w:r>
        <w:rPr>
          <w:rFonts w:ascii="Calibri" w:hAnsi="Calibri"/>
          <w:sz w:val="22"/>
        </w:rPr>
        <w:t>Référent Partenaire : [Nom / email / téléphone]</w:t>
      </w:r>
    </w:p>
    <w:p>
      <w:pPr>
        <w:pStyle w:val="ListBullet"/>
        <w:spacing w:after="40"/>
      </w:pPr>
      <w:r>
        <w:rPr>
          <w:rFonts w:ascii="Calibri" w:hAnsi="Calibri"/>
          <w:sz w:val="22"/>
        </w:rPr>
        <w:t>Référent Denturiste : [Nom / email / téléphone]</w:t>
      </w:r>
    </w:p>
    <w:p>
      <w:pPr>
        <w:pStyle w:val="ListBullet"/>
        <w:spacing w:after="40"/>
      </w:pPr>
      <w:r>
        <w:rPr>
          <w:rFonts w:ascii="Calibri" w:hAnsi="Calibri"/>
          <w:sz w:val="22"/>
        </w:rPr>
        <w:t>Canal officiel : [email / portail / outil]</w:t>
      </w:r>
    </w:p>
    <w:p>
      <w:pPr>
        <w:pStyle w:val="ListBullet"/>
        <w:spacing w:after="40"/>
      </w:pPr>
      <w:r>
        <w:rPr>
          <w:rFonts w:ascii="Calibri" w:hAnsi="Calibri"/>
          <w:sz w:val="22"/>
        </w:rPr>
        <w:t>Règles de disponibilité : [jours/heures]</w:t>
      </w:r>
    </w:p>
    <w:p>
      <w:pPr>
        <w:spacing w:before="240" w:after="120"/>
      </w:pPr>
      <w:r>
        <w:rPr>
          <w:rFonts w:ascii="Calibri" w:hAnsi="Calibri"/>
          <w:b/>
          <w:sz w:val="28"/>
        </w:rPr>
        <w:t>Article 5 — Traçabilité documentaire</w:t>
      </w:r>
    </w:p>
    <w:p>
      <w:pPr>
        <w:pStyle w:val="ListBullet"/>
        <w:spacing w:after="40"/>
      </w:pPr>
      <w:r>
        <w:rPr>
          <w:rFonts w:ascii="Calibri" w:hAnsi="Calibri"/>
          <w:sz w:val="22"/>
        </w:rPr>
        <w:t>Documents applicables : Annexe A (liste)</w:t>
      </w:r>
    </w:p>
    <w:p>
      <w:pPr>
        <w:pStyle w:val="ListBullet"/>
        <w:spacing w:after="40"/>
      </w:pPr>
      <w:r>
        <w:rPr>
          <w:rFonts w:ascii="Calibri" w:hAnsi="Calibri"/>
          <w:sz w:val="22"/>
        </w:rPr>
        <w:t>Charte de traçabilité : Annexe B (indissociable)</w:t>
      </w:r>
    </w:p>
    <w:p>
      <w:pPr>
        <w:pStyle w:val="ListBullet"/>
        <w:spacing w:after="40"/>
      </w:pPr>
      <w:r>
        <w:rPr>
          <w:rFonts w:ascii="Calibri" w:hAnsi="Calibri"/>
          <w:sz w:val="22"/>
        </w:rPr>
        <w:t>Compte-rendus structurants pour toute modification/incident/non-conformité</w:t>
      </w:r>
    </w:p>
    <w:p>
      <w:pPr>
        <w:spacing w:before="240" w:after="120"/>
      </w:pPr>
      <w:r>
        <w:rPr>
          <w:rFonts w:ascii="Calibri" w:hAnsi="Calibri"/>
          <w:b/>
          <w:sz w:val="28"/>
        </w:rPr>
        <w:t>Article 6 — Délais &amp; niveaux de service</w:t>
      </w:r>
    </w:p>
    <w:p>
      <w:pPr>
        <w:pStyle w:val="ListBullet"/>
        <w:spacing w:after="40"/>
      </w:pPr>
      <w:r>
        <w:rPr>
          <w:rFonts w:ascii="Calibri" w:hAnsi="Calibri"/>
          <w:sz w:val="22"/>
        </w:rPr>
        <w:t>Délais standards : [X] jours ouvrés, selon complexité</w:t>
      </w:r>
    </w:p>
    <w:p>
      <w:pPr>
        <w:pStyle w:val="ListBullet"/>
        <w:spacing w:after="40"/>
      </w:pPr>
      <w:r>
        <w:rPr>
          <w:rFonts w:ascii="Calibri" w:hAnsi="Calibri"/>
          <w:sz w:val="22"/>
        </w:rPr>
        <w:t>Le délai court à réception complète des éléments d’entrée nécessaires</w:t>
      </w:r>
    </w:p>
    <w:p>
      <w:pPr>
        <w:pStyle w:val="ListBullet"/>
        <w:spacing w:after="40"/>
      </w:pPr>
      <w:r>
        <w:rPr>
          <w:rFonts w:ascii="Calibri" w:hAnsi="Calibri"/>
          <w:sz w:val="22"/>
        </w:rPr>
        <w:t>Procédure d’urgence (si applicable) : critères, limites, surcoûts</w:t>
      </w:r>
    </w:p>
    <w:p>
      <w:pPr>
        <w:spacing w:before="240" w:after="120"/>
      </w:pPr>
      <w:r>
        <w:rPr>
          <w:rFonts w:ascii="Calibri" w:hAnsi="Calibri"/>
          <w:b/>
          <w:sz w:val="28"/>
        </w:rPr>
        <w:t>Article 7 — Qualité &amp; non-conformités</w:t>
      </w:r>
    </w:p>
    <w:p>
      <w:pPr>
        <w:spacing w:after="120"/>
      </w:pPr>
      <w:r>
        <w:rPr>
          <w:rFonts w:ascii="Calibri" w:hAnsi="Calibri"/>
          <w:sz w:val="22"/>
        </w:rPr>
        <w:t>En cas de non-conformité constatée, la partie notifiante transmet une description factuelle et les preuves utiles. Les parties analysent conjointement l’écart et définissent une action corrective (réajustement technique, reprise, autre solution) avec délais. La traçabilité des non-conformités et actions correctives est conservée.</w:t>
      </w:r>
    </w:p>
    <w:p>
      <w:pPr>
        <w:spacing w:before="240" w:after="120"/>
      </w:pPr>
      <w:r>
        <w:rPr>
          <w:rFonts w:ascii="Calibri" w:hAnsi="Calibri"/>
          <w:b/>
          <w:sz w:val="28"/>
        </w:rPr>
        <w:t>Article 8 — Responsabilités</w:t>
      </w:r>
    </w:p>
    <w:p>
      <w:pPr>
        <w:pStyle w:val="ListBullet"/>
        <w:spacing w:after="40"/>
      </w:pPr>
      <w:r>
        <w:rPr>
          <w:rFonts w:ascii="Calibri" w:hAnsi="Calibri"/>
          <w:sz w:val="22"/>
        </w:rPr>
        <w:t>Chaque partie demeure responsable de ses obligations légales et de son périmètre d’intervention.</w:t>
      </w:r>
    </w:p>
    <w:p>
      <w:pPr>
        <w:pStyle w:val="ListBullet"/>
        <w:spacing w:after="40"/>
      </w:pPr>
      <w:r>
        <w:rPr>
          <w:rFonts w:ascii="Calibri" w:hAnsi="Calibri"/>
          <w:sz w:val="22"/>
        </w:rPr>
        <w:t>La convention ne transfère pas des responsabilités non transférables et ne crée pas de délégation d’actes de soins.</w:t>
      </w:r>
    </w:p>
    <w:p>
      <w:pPr>
        <w:pStyle w:val="ListBullet"/>
        <w:spacing w:after="40"/>
      </w:pPr>
      <w:r>
        <w:rPr>
          <w:rFonts w:ascii="Calibri" w:hAnsi="Calibri"/>
          <w:sz w:val="22"/>
        </w:rPr>
        <w:t>Toute situation requérant diagnostic/prescription/acte clinique est orientée vers un professionnel habilité.</w:t>
      </w:r>
    </w:p>
    <w:p>
      <w:pPr>
        <w:spacing w:before="240" w:after="120"/>
      </w:pPr>
      <w:r>
        <w:rPr>
          <w:rFonts w:ascii="Calibri" w:hAnsi="Calibri"/>
          <w:b/>
          <w:sz w:val="28"/>
        </w:rPr>
        <w:t>Article 9 — Assurance &amp; gouvernance du risque</w:t>
      </w:r>
    </w:p>
    <w:p>
      <w:pPr>
        <w:spacing w:after="120"/>
      </w:pPr>
      <w:r>
        <w:rPr>
          <w:rFonts w:ascii="Calibri" w:hAnsi="Calibri"/>
          <w:sz w:val="22"/>
        </w:rPr>
        <w:t>Chaque partie déclare être titulaire d’une assurance adaptée à son activité. Les attestations sont échangées à la signature puis à chaque renouvellement. La gestion des incidents suit une procédure documentée.</w:t>
      </w:r>
    </w:p>
    <w:p>
      <w:pPr>
        <w:spacing w:before="240" w:after="120"/>
      </w:pPr>
      <w:r>
        <w:rPr>
          <w:rFonts w:ascii="Calibri" w:hAnsi="Calibri"/>
          <w:b/>
          <w:sz w:val="28"/>
        </w:rPr>
        <w:t>Article 10 — Conditions financières</w:t>
      </w:r>
    </w:p>
    <w:p>
      <w:pPr>
        <w:pStyle w:val="ListBullet"/>
        <w:spacing w:after="40"/>
      </w:pPr>
      <w:r>
        <w:rPr>
          <w:rFonts w:ascii="Calibri" w:hAnsi="Calibri"/>
          <w:sz w:val="22"/>
        </w:rPr>
        <w:t>Grille tarifaire / modalités : Annexe C</w:t>
      </w:r>
    </w:p>
    <w:p>
      <w:pPr>
        <w:pStyle w:val="ListBullet"/>
        <w:spacing w:after="40"/>
      </w:pPr>
      <w:r>
        <w:rPr>
          <w:rFonts w:ascii="Calibri" w:hAnsi="Calibri"/>
          <w:sz w:val="22"/>
        </w:rPr>
        <w:t>Facturation : [mensuelle / à l’acte]</w:t>
      </w:r>
    </w:p>
    <w:p>
      <w:pPr>
        <w:pStyle w:val="ListBullet"/>
        <w:spacing w:after="40"/>
      </w:pPr>
      <w:r>
        <w:rPr>
          <w:rFonts w:ascii="Calibri" w:hAnsi="Calibri"/>
          <w:sz w:val="22"/>
        </w:rPr>
        <w:t>Paiement : [X] jours</w:t>
      </w:r>
    </w:p>
    <w:p>
      <w:pPr>
        <w:pStyle w:val="ListBullet"/>
        <w:spacing w:after="40"/>
      </w:pPr>
      <w:r>
        <w:rPr>
          <w:rFonts w:ascii="Calibri" w:hAnsi="Calibri"/>
          <w:sz w:val="22"/>
        </w:rPr>
        <w:t>Procédure de contestation : notification écrite et éléments justificatifs</w:t>
      </w:r>
    </w:p>
    <w:p>
      <w:pPr>
        <w:spacing w:before="240" w:after="120"/>
      </w:pPr>
      <w:r>
        <w:rPr>
          <w:rFonts w:ascii="Calibri" w:hAnsi="Calibri"/>
          <w:b/>
          <w:sz w:val="28"/>
        </w:rPr>
        <w:t>Article 11 — Données, confidentialité &amp; RGPD</w:t>
      </w:r>
    </w:p>
    <w:p>
      <w:pPr>
        <w:spacing w:after="120"/>
      </w:pPr>
      <w:r>
        <w:rPr>
          <w:rFonts w:ascii="Calibri" w:hAnsi="Calibri"/>
          <w:sz w:val="22"/>
        </w:rPr>
        <w:t>Application de l’Annexe RGPD (Annexe D) : rôles, sécurité, conservation, droits, gestion des incidents, sous-traitance ultérieure.</w:t>
      </w:r>
    </w:p>
    <w:p>
      <w:pPr>
        <w:spacing w:before="240" w:after="120"/>
      </w:pPr>
      <w:r>
        <w:rPr>
          <w:rFonts w:ascii="Calibri" w:hAnsi="Calibri"/>
          <w:b/>
          <w:sz w:val="28"/>
        </w:rPr>
        <w:t>Article 12 — Durée, renouvellement, résiliation</w:t>
      </w:r>
    </w:p>
    <w:p>
      <w:pPr>
        <w:pStyle w:val="ListBullet"/>
        <w:spacing w:after="40"/>
      </w:pPr>
      <w:r>
        <w:rPr>
          <w:rFonts w:ascii="Calibri" w:hAnsi="Calibri"/>
          <w:sz w:val="22"/>
        </w:rPr>
        <w:t>Durée : [12/24] mois</w:t>
      </w:r>
    </w:p>
    <w:p>
      <w:pPr>
        <w:pStyle w:val="ListBullet"/>
        <w:spacing w:after="40"/>
      </w:pPr>
      <w:r>
        <w:rPr>
          <w:rFonts w:ascii="Calibri" w:hAnsi="Calibri"/>
          <w:sz w:val="22"/>
        </w:rPr>
        <w:t>Renouvellement : [tacite/express]</w:t>
      </w:r>
    </w:p>
    <w:p>
      <w:pPr>
        <w:pStyle w:val="ListBullet"/>
        <w:spacing w:after="40"/>
      </w:pPr>
      <w:r>
        <w:rPr>
          <w:rFonts w:ascii="Calibri" w:hAnsi="Calibri"/>
          <w:sz w:val="22"/>
        </w:rPr>
        <w:t>Résiliation : préavis [X] jours ; manquement : mise en demeure + délai de cure [X] jours</w:t>
      </w:r>
    </w:p>
    <w:p>
      <w:pPr>
        <w:pStyle w:val="ListBullet"/>
        <w:spacing w:after="40"/>
      </w:pPr>
      <w:r>
        <w:rPr>
          <w:rFonts w:ascii="Calibri" w:hAnsi="Calibri"/>
          <w:sz w:val="22"/>
        </w:rPr>
        <w:t>Fin de relation : Protocole (Annexe E)</w:t>
      </w:r>
    </w:p>
    <w:p>
      <w:pPr>
        <w:spacing w:before="240" w:after="120"/>
      </w:pPr>
      <w:r>
        <w:rPr>
          <w:rFonts w:ascii="Calibri" w:hAnsi="Calibri"/>
          <w:b/>
          <w:sz w:val="28"/>
        </w:rPr>
        <w:t>Article 13 — Auditabilité</w:t>
      </w:r>
    </w:p>
    <w:p>
      <w:pPr>
        <w:spacing w:after="120"/>
      </w:pPr>
      <w:r>
        <w:rPr>
          <w:rFonts w:ascii="Calibri" w:hAnsi="Calibri"/>
          <w:sz w:val="22"/>
        </w:rPr>
        <w:t>Sur demande motivée (assureur, contrôle interne, exigence institutionnelle), les parties coopèrent pour produire les documents strictement nécessaires, sous réserve de confidentialité et de minimisation des données (RGPD).</w:t>
      </w:r>
    </w:p>
    <w:p>
      <w:pPr>
        <w:spacing w:before="240" w:after="120"/>
      </w:pPr>
      <w:r>
        <w:rPr>
          <w:rFonts w:ascii="Calibri" w:hAnsi="Calibri"/>
          <w:b/>
          <w:sz w:val="28"/>
        </w:rPr>
        <w:t>Article 14 — Droit applicable et règlement des différends</w:t>
      </w:r>
    </w:p>
    <w:p>
      <w:pPr>
        <w:pStyle w:val="ListBullet"/>
        <w:spacing w:after="40"/>
      </w:pPr>
      <w:r>
        <w:rPr>
          <w:rFonts w:ascii="Calibri" w:hAnsi="Calibri"/>
          <w:sz w:val="22"/>
        </w:rPr>
        <w:t>Tentative amiable : 15 jours</w:t>
      </w:r>
    </w:p>
    <w:p>
      <w:pPr>
        <w:pStyle w:val="ListBullet"/>
        <w:spacing w:after="40"/>
      </w:pPr>
      <w:r>
        <w:rPr>
          <w:rFonts w:ascii="Calibri" w:hAnsi="Calibri"/>
          <w:sz w:val="22"/>
        </w:rPr>
        <w:t>Médiation : [option]</w:t>
      </w:r>
    </w:p>
    <w:p>
      <w:pPr>
        <w:pStyle w:val="ListBullet"/>
        <w:spacing w:after="40"/>
      </w:pPr>
      <w:r>
        <w:rPr>
          <w:rFonts w:ascii="Calibri" w:hAnsi="Calibri"/>
          <w:sz w:val="22"/>
        </w:rPr>
        <w:t>Tribunal compétent : [ville]</w:t>
      </w:r>
    </w:p>
    <w:p>
      <w:pPr>
        <w:spacing w:before="240" w:after="120"/>
      </w:pPr>
      <w:r>
        <w:rPr>
          <w:rFonts w:ascii="Calibri" w:hAnsi="Calibri"/>
          <w:b/>
          <w:sz w:val="28"/>
        </w:rPr>
        <w:t>Signatures</w:t>
      </w:r>
    </w:p>
    <w:p>
      <w:pPr>
        <w:spacing w:after="120"/>
      </w:pPr>
      <w:r>
        <w:rPr>
          <w:rFonts w:ascii="Calibri" w:hAnsi="Calibri"/>
          <w:sz w:val="22"/>
        </w:rPr>
        <w:t>Fait à [ville], le [date]</w:t>
      </w:r>
    </w:p>
    <w:p>
      <w:pPr>
        <w:spacing w:after="120"/>
      </w:pPr>
      <w:r>
        <w:rPr>
          <w:rFonts w:ascii="Calibri" w:hAnsi="Calibri"/>
          <w:sz w:val="22"/>
        </w:rPr>
        <w:t>Le Partenaire : ____________________</w:t>
      </w:r>
    </w:p>
    <w:p>
      <w:pPr>
        <w:spacing w:after="120"/>
      </w:pPr>
      <w:r>
        <w:rPr>
          <w:rFonts w:ascii="Calibri" w:hAnsi="Calibri"/>
          <w:sz w:val="22"/>
        </w:rPr>
        <w:t>Le Denturiste : ____________________</w:t>
      </w:r>
    </w:p>
    <w:p>
      <w:pPr>
        <w:spacing w:before="240" w:after="120"/>
      </w:pPr>
      <w:r>
        <w:rPr>
          <w:rFonts w:ascii="Calibri" w:hAnsi="Calibri"/>
          <w:b/>
          <w:sz w:val="28"/>
        </w:rPr>
        <w:t>Annexes</w:t>
      </w:r>
    </w:p>
    <w:p>
      <w:pPr>
        <w:pStyle w:val="ListBullet"/>
        <w:spacing w:after="40"/>
      </w:pPr>
      <w:r>
        <w:rPr>
          <w:rFonts w:ascii="Calibri" w:hAnsi="Calibri"/>
          <w:sz w:val="22"/>
        </w:rPr>
        <w:t>Annexe A : Liste des documents applicables</w:t>
      </w:r>
    </w:p>
    <w:p>
      <w:pPr>
        <w:pStyle w:val="ListBullet"/>
        <w:spacing w:after="40"/>
      </w:pPr>
      <w:r>
        <w:rPr>
          <w:rFonts w:ascii="Calibri" w:hAnsi="Calibri"/>
          <w:sz w:val="22"/>
        </w:rPr>
        <w:t>Annexe B : Charte de traçabilité documentaire</w:t>
      </w:r>
    </w:p>
    <w:p>
      <w:pPr>
        <w:pStyle w:val="ListBullet"/>
        <w:spacing w:after="40"/>
      </w:pPr>
      <w:r>
        <w:rPr>
          <w:rFonts w:ascii="Calibri" w:hAnsi="Calibri"/>
          <w:sz w:val="22"/>
        </w:rPr>
        <w:t>Annexe C : Conditions financières</w:t>
      </w:r>
    </w:p>
    <w:p>
      <w:pPr>
        <w:pStyle w:val="ListBullet"/>
        <w:spacing w:after="40"/>
      </w:pPr>
      <w:r>
        <w:rPr>
          <w:rFonts w:ascii="Calibri" w:hAnsi="Calibri"/>
          <w:sz w:val="22"/>
        </w:rPr>
        <w:t>Annexe D : Annexe RGPD</w:t>
      </w:r>
    </w:p>
    <w:p>
      <w:pPr>
        <w:pStyle w:val="ListBullet"/>
        <w:spacing w:after="40"/>
      </w:pPr>
      <w:r>
        <w:rPr>
          <w:rFonts w:ascii="Calibri" w:hAnsi="Calibri"/>
          <w:sz w:val="22"/>
        </w:rPr>
        <w:t>Annexe E : Protocole de fin de relation</w:t>
      </w:r>
    </w:p>
    <w:p>
      <w:pPr>
        <w:pStyle w:val="ListBullet"/>
        <w:spacing w:after="40"/>
      </w:pPr>
      <w:r>
        <w:rPr>
          <w:rFonts w:ascii="Calibri" w:hAnsi="Calibri"/>
          <w:sz w:val="22"/>
        </w:rPr>
        <w:t>Annexe F : Annexe Assurance</w:t>
      </w:r>
    </w:p>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sz w:val="18"/>
      </w:rPr>
      <w:t>SDDF_KitContractuel_v1.1_Assureurs_ARS_20260221-091243 — Page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tabs>
        <w:tab w:val="right" w:pos="9355"/>
      </w:tabs>
    </w:pPr>
    <w:r/>
    <w:r>
      <w:rPr>
        <w:rFonts w:ascii="Calibri" w:hAnsi="Calibri"/>
        <w:b/>
        <w:sz w:val="18"/>
      </w:rPr>
      <w:t>SDDF</w:t>
    </w:r>
    <w:r>
      <w:tab/>
    </w:r>
    <w:r>
      <w:rPr>
        <w:rFonts w:ascii="Calibri" w:hAnsi="Calibri"/>
        <w:sz w:val="18"/>
      </w:rPr>
      <w:t>SDDF – Kit contractuel (Assureurs / ARS) — v1.1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