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rFonts w:ascii="Calibri" w:hAnsi="Calibri"/>
          <w:b/>
          <w:sz w:val="40"/>
        </w:rPr>
        <w:t>Charte de traçabilité documentaire et de gouvernance des engagements</w:t>
      </w:r>
    </w:p>
    <w:p>
      <w:r>
        <w:rPr>
          <w:rFonts w:ascii="Calibri" w:hAnsi="Calibri"/>
          <w:sz w:val="22"/>
        </w:rPr>
        <w:t>Version : v1.1 — Date : 21/02/2026</w:t>
      </w:r>
    </w:p>
    <w:p/>
    <w:p>
      <w:pPr>
        <w:spacing w:before="240" w:after="120"/>
      </w:pPr>
      <w:r>
        <w:rPr>
          <w:rFonts w:ascii="Calibri" w:hAnsi="Calibri"/>
          <w:b/>
          <w:sz w:val="28"/>
        </w:rPr>
        <w:t>1. Objet</w:t>
      </w:r>
    </w:p>
    <w:p>
      <w:pPr>
        <w:spacing w:after="120"/>
      </w:pPr>
      <w:r>
        <w:rPr>
          <w:rFonts w:ascii="Calibri" w:hAnsi="Calibri"/>
          <w:sz w:val="22"/>
        </w:rPr>
        <w:t>La présente charte définit les règles minimales de traçabilité, de versioning, de conservation, d’archivage et de preuve applicables aux documents encadrant une relation professionnelle impliquant un denturiste, dans une logique de gouvernance du risque (assureurs, ARS, partenaires).</w:t>
      </w:r>
    </w:p>
    <w:p>
      <w:pPr>
        <w:spacing w:before="240" w:after="120"/>
      </w:pPr>
      <w:r>
        <w:rPr>
          <w:rFonts w:ascii="Calibri" w:hAnsi="Calibri"/>
          <w:b/>
          <w:sz w:val="28"/>
        </w:rPr>
        <w:t>2. Périmètre – fabrication uniquement</w:t>
      </w:r>
    </w:p>
    <w:tbl>
      <w:tblPr>
        <w:tblStyle w:val="TableGrid"/>
        <w:tblW w:type="auto" w:w="0"/>
        <w:tblLook w:firstColumn="1" w:firstRow="1" w:lastColumn="0" w:lastRow="0" w:noHBand="0" w:noVBand="1" w:val="04A0"/>
      </w:tblPr>
      <w:tblGrid>
        <w:gridCol w:w="9746"/>
      </w:tblGrid>
      <w:tr>
        <w:tc>
          <w:tcPr>
            <w:tcW w:type="dxa" w:w="9746"/>
          </w:tcPr>
          <w:p>
            <w:r>
              <w:rPr>
                <w:rFonts w:ascii="Calibri" w:hAnsi="Calibri"/>
                <w:b/>
                <w:sz w:val="22"/>
              </w:rPr>
              <w:t>Clause d’exclusion (fabrication uniquement)</w:t>
            </w:r>
          </w:p>
          <w:p>
            <w:r>
              <w:rPr>
                <w:rFonts w:ascii="Calibri" w:hAnsi="Calibri"/>
                <w:sz w:val="21"/>
              </w:rPr>
              <w:t>Le Denturiste intervient exclusivement dans un périmètre technique de fabrication.</w:t>
            </w:r>
          </w:p>
          <w:p>
            <w:r>
              <w:rPr>
                <w:rFonts w:ascii="Calibri" w:hAnsi="Calibri"/>
                <w:sz w:val="21"/>
              </w:rPr>
              <w:t>Il n’effectue aucun diagnostic, aucune prescription, aucun acte de soins ni traitement.</w:t>
            </w:r>
          </w:p>
          <w:p>
            <w:r>
              <w:rPr>
                <w:rFonts w:ascii="Calibri" w:hAnsi="Calibri"/>
                <w:sz w:val="21"/>
              </w:rPr>
              <w:t>Lorsque la situation requiert un diagnostic, une prescription, une décision thérapeutique ou un acte de soins, l’orientation est réalisée vers un professionnel habilité.</w:t>
            </w:r>
          </w:p>
          <w:p>
            <w:r>
              <w:rPr>
                <w:rFonts w:ascii="Calibri" w:hAnsi="Calibri"/>
                <w:sz w:val="21"/>
              </w:rPr>
              <w:t>La relation contractuelle vise la traçabilité, la conformité documentaire, la qualité de fabrication et la gouvernance du risque.</w:t>
            </w:r>
          </w:p>
        </w:tc>
      </w:tr>
    </w:tbl>
    <w:p/>
    <w:p>
      <w:pPr>
        <w:spacing w:before="240" w:after="120"/>
      </w:pPr>
      <w:r>
        <w:rPr>
          <w:rFonts w:ascii="Calibri" w:hAnsi="Calibri"/>
          <w:b/>
          <w:sz w:val="28"/>
        </w:rPr>
        <w:t>3. Documents concernés</w:t>
      </w:r>
    </w:p>
    <w:p>
      <w:pPr>
        <w:pStyle w:val="ListBullet"/>
        <w:spacing w:after="40"/>
      </w:pPr>
      <w:r>
        <w:rPr>
          <w:rFonts w:ascii="Calibri" w:hAnsi="Calibri"/>
          <w:sz w:val="22"/>
        </w:rPr>
        <w:t>Conventions et contrats (cadre, spécifiques, prestations, collaboration)</w:t>
      </w:r>
    </w:p>
    <w:p>
      <w:pPr>
        <w:pStyle w:val="ListBullet"/>
        <w:spacing w:after="40"/>
      </w:pPr>
      <w:r>
        <w:rPr>
          <w:rFonts w:ascii="Calibri" w:hAnsi="Calibri"/>
          <w:sz w:val="22"/>
        </w:rPr>
        <w:t>Annexes (RGPD, assurance, périmètre technique, procédures)</w:t>
      </w:r>
    </w:p>
    <w:p>
      <w:pPr>
        <w:pStyle w:val="ListBullet"/>
        <w:spacing w:after="40"/>
      </w:pPr>
      <w:r>
        <w:rPr>
          <w:rFonts w:ascii="Calibri" w:hAnsi="Calibri"/>
          <w:sz w:val="22"/>
        </w:rPr>
        <w:t>Avenants</w:t>
      </w:r>
    </w:p>
    <w:p>
      <w:pPr>
        <w:pStyle w:val="ListBullet"/>
        <w:spacing w:after="40"/>
      </w:pPr>
      <w:r>
        <w:rPr>
          <w:rFonts w:ascii="Calibri" w:hAnsi="Calibri"/>
          <w:sz w:val="22"/>
        </w:rPr>
        <w:t>Protocoles de fin de relation / continuité</w:t>
      </w:r>
    </w:p>
    <w:p>
      <w:pPr>
        <w:pStyle w:val="ListBullet"/>
        <w:spacing w:after="40"/>
      </w:pPr>
      <w:r>
        <w:rPr>
          <w:rFonts w:ascii="Calibri" w:hAnsi="Calibri"/>
          <w:sz w:val="22"/>
        </w:rPr>
        <w:t>Correspondances structurantes modifiant le périmètre, les responsabilités, les délais, les tarifs ou les flux documentaires</w:t>
      </w:r>
    </w:p>
    <w:p>
      <w:pPr>
        <w:spacing w:before="240" w:after="120"/>
      </w:pPr>
      <w:r>
        <w:rPr>
          <w:rFonts w:ascii="Calibri" w:hAnsi="Calibri"/>
          <w:b/>
          <w:sz w:val="28"/>
        </w:rPr>
        <w:t>4. Identification &amp; versioning</w:t>
      </w:r>
    </w:p>
    <w:p>
      <w:pPr>
        <w:pStyle w:val="ListBullet"/>
        <w:spacing w:after="40"/>
      </w:pPr>
      <w:r>
        <w:rPr>
          <w:rFonts w:ascii="Calibri" w:hAnsi="Calibri"/>
          <w:sz w:val="22"/>
        </w:rPr>
        <w:t>Titre explicite, numéro de version, date d’effet</w:t>
      </w:r>
    </w:p>
    <w:p>
      <w:pPr>
        <w:pStyle w:val="ListBullet"/>
        <w:spacing w:after="40"/>
      </w:pPr>
      <w:r>
        <w:rPr>
          <w:rFonts w:ascii="Calibri" w:hAnsi="Calibri"/>
          <w:sz w:val="22"/>
        </w:rPr>
        <w:t>Identification des parties (raison sociale, adresse, SIRET si applicable) et référents</w:t>
      </w:r>
    </w:p>
    <w:p>
      <w:pPr>
        <w:pStyle w:val="ListBullet"/>
        <w:spacing w:after="40"/>
      </w:pPr>
      <w:r>
        <w:rPr>
          <w:rFonts w:ascii="Calibri" w:hAnsi="Calibri"/>
          <w:sz w:val="22"/>
        </w:rPr>
        <w:t>Changelog (historique des modifications) en annexe si le document évolue</w:t>
      </w:r>
    </w:p>
    <w:p>
      <w:pPr>
        <w:pStyle w:val="ListBullet"/>
        <w:spacing w:after="40"/>
      </w:pPr>
      <w:r>
        <w:rPr>
          <w:rFonts w:ascii="Calibri" w:hAnsi="Calibri"/>
          <w:sz w:val="22"/>
        </w:rPr>
        <w:t>Référencement croisé des annexes indissociables</w:t>
      </w:r>
    </w:p>
    <w:p>
      <w:pPr>
        <w:spacing w:before="240" w:after="120"/>
      </w:pPr>
      <w:r>
        <w:rPr>
          <w:rFonts w:ascii="Calibri" w:hAnsi="Calibri"/>
          <w:b/>
          <w:sz w:val="28"/>
        </w:rPr>
        <w:t>5. Validation, signature et intégrité</w:t>
      </w:r>
    </w:p>
    <w:p>
      <w:pPr>
        <w:pStyle w:val="ListBullet"/>
        <w:spacing w:after="40"/>
      </w:pPr>
      <w:r>
        <w:rPr>
          <w:rFonts w:ascii="Calibri" w:hAnsi="Calibri"/>
          <w:sz w:val="22"/>
        </w:rPr>
        <w:t>Validation formelle des parties et signature (manuscrite ou électronique)</w:t>
      </w:r>
    </w:p>
    <w:p>
      <w:pPr>
        <w:pStyle w:val="ListBullet"/>
        <w:spacing w:after="40"/>
      </w:pPr>
      <w:r>
        <w:rPr>
          <w:rFonts w:ascii="Calibri" w:hAnsi="Calibri"/>
          <w:sz w:val="22"/>
        </w:rPr>
        <w:t>Traçabilité des annexes acceptées (paraphe ou clause d’acceptation expresse)</w:t>
      </w:r>
    </w:p>
    <w:p>
      <w:pPr>
        <w:pStyle w:val="ListBullet"/>
        <w:spacing w:after="40"/>
      </w:pPr>
      <w:r>
        <w:rPr>
          <w:rFonts w:ascii="Calibri" w:hAnsi="Calibri"/>
          <w:sz w:val="22"/>
        </w:rPr>
        <w:t>Conservation d’une version « master » non modifiable (PDF/A recommandé)</w:t>
      </w:r>
    </w:p>
    <w:p>
      <w:pPr>
        <w:spacing w:before="240" w:after="120"/>
      </w:pPr>
      <w:r>
        <w:rPr>
          <w:rFonts w:ascii="Calibri" w:hAnsi="Calibri"/>
          <w:b/>
          <w:sz w:val="28"/>
        </w:rPr>
        <w:t>6. Conservation, archivage et auditabilité</w:t>
      </w:r>
    </w:p>
    <w:p>
      <w:pPr>
        <w:pStyle w:val="ListBullet"/>
        <w:spacing w:after="40"/>
      </w:pPr>
      <w:r>
        <w:rPr>
          <w:rFonts w:ascii="Calibri" w:hAnsi="Calibri"/>
          <w:sz w:val="22"/>
        </w:rPr>
        <w:t>Recommandation : conservation 10 ans à compter de la fin de relation, sauf règle supérieure</w:t>
      </w:r>
    </w:p>
    <w:p>
      <w:pPr>
        <w:pStyle w:val="ListBullet"/>
        <w:spacing w:after="40"/>
      </w:pPr>
      <w:r>
        <w:rPr>
          <w:rFonts w:ascii="Calibri" w:hAnsi="Calibri"/>
          <w:sz w:val="22"/>
        </w:rPr>
        <w:t>Archivage garantissant intégrité, confidentialité, disponibilité (accès contrôlé, sauvegardes)</w:t>
      </w:r>
    </w:p>
    <w:p>
      <w:pPr>
        <w:pStyle w:val="ListBullet"/>
        <w:spacing w:after="40"/>
      </w:pPr>
      <w:r>
        <w:rPr>
          <w:rFonts w:ascii="Calibri" w:hAnsi="Calibri"/>
          <w:sz w:val="22"/>
        </w:rPr>
        <w:t>Capacité à produire les documents strictement nécessaires en cas d’audit/contrôle, sous réserve RGPD</w:t>
      </w:r>
    </w:p>
    <w:p>
      <w:pPr>
        <w:spacing w:before="240" w:after="120"/>
      </w:pPr>
      <w:r>
        <w:rPr>
          <w:rFonts w:ascii="Calibri" w:hAnsi="Calibri"/>
          <w:b/>
          <w:sz w:val="28"/>
        </w:rPr>
        <w:t>7. Incidents, changements et actions correctives</w:t>
      </w:r>
    </w:p>
    <w:p>
      <w:pPr>
        <w:spacing w:after="120"/>
      </w:pPr>
      <w:r>
        <w:rPr>
          <w:rFonts w:ascii="Calibri" w:hAnsi="Calibri"/>
          <w:sz w:val="22"/>
        </w:rPr>
        <w:t>Tout incident significatif fait l’objet d’un enregistrement et d’actions correctives. Tout changement de périmètre est formalisé par avenant.</w:t>
      </w:r>
    </w:p>
    <w:p>
      <w:pPr>
        <w:spacing w:before="240" w:after="120"/>
      </w:pPr>
      <w:r>
        <w:rPr>
          <w:rFonts w:ascii="Calibri" w:hAnsi="Calibri"/>
          <w:b/>
          <w:sz w:val="28"/>
        </w:rPr>
        <w:t>8. Entrée en vigueur</w:t>
      </w:r>
    </w:p>
    <w:p>
      <w:pPr>
        <w:spacing w:after="120"/>
      </w:pPr>
      <w:r>
        <w:rPr>
          <w:rFonts w:ascii="Calibri" w:hAnsi="Calibri"/>
          <w:sz w:val="22"/>
        </w:rPr>
        <w:t>La présente charte est applicable à compter du 21/02/2026.</w:t>
      </w:r>
    </w:p>
    <w:sectPr w:rsidR="00FC693F" w:rsidRPr="0006063C" w:rsidSect="00034616">
      <w:headerReference w:type="default" r:id="rId9"/>
      <w:footerReference w:type="default" r:id="rId10"/>
      <w:pgSz w:w="12240" w:h="15840"/>
      <w:pgMar w:top="1134" w:right="1247"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Calibri" w:hAnsi="Calibri"/>
        <w:sz w:val="18"/>
      </w:rPr>
      <w:t>SDDF_KitContractuel_v1.1_Assureurs_ARS_20260221-091243 — Page</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left"/>
      <w:tabs>
        <w:tab w:val="right" w:pos="9355"/>
      </w:tabs>
    </w:pPr>
    <w:r/>
    <w:r>
      <w:rPr>
        <w:rFonts w:ascii="Calibri" w:hAnsi="Calibri"/>
        <w:b/>
        <w:sz w:val="18"/>
      </w:rPr>
      <w:t>SDDF</w:t>
    </w:r>
    <w:r>
      <w:tab/>
    </w:r>
    <w:r>
      <w:rPr>
        <w:rFonts w:ascii="Calibri" w:hAnsi="Calibri"/>
        <w:sz w:val="18"/>
      </w:rPr>
      <w:t>SDDF – Kit contractuel (Assureurs / ARS) — v1.1</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